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360"/>
          <w:tab w:val="left" w:pos="450"/>
        </w:tabs>
        <w:contextualSpacing w:val="0"/>
        <w:jc w:val="center"/>
        <w:rPr/>
      </w:pPr>
      <w:r w:rsidDel="00000000" w:rsidR="00000000" w:rsidRPr="00000000">
        <w:rPr>
          <w:rtl w:val="0"/>
        </w:rPr>
        <w:t xml:space="preserve">Jewish Response To Pastor Russell - Part 2</w:t>
      </w:r>
    </w:p>
    <w:p w:rsidR="00000000" w:rsidDel="00000000" w:rsidP="00000000" w:rsidRDefault="00000000" w:rsidRPr="00000000">
      <w:pPr>
        <w:pBdr/>
        <w:tabs>
          <w:tab w:val="left" w:pos="360"/>
        </w:tabs>
        <w:contextualSpacing w:val="0"/>
        <w:jc w:val="center"/>
        <w:rPr/>
      </w:pPr>
      <w:r w:rsidDel="00000000" w:rsidR="00000000" w:rsidRPr="00000000">
        <w:rPr>
          <w:rtl w:val="0"/>
        </w:rPr>
      </w:r>
    </w:p>
    <w:p w:rsidR="00000000" w:rsidDel="00000000" w:rsidP="00000000" w:rsidRDefault="00000000" w:rsidRPr="00000000">
      <w:pPr>
        <w:pBdr/>
        <w:tabs>
          <w:tab w:val="left" w:pos="360"/>
        </w:tabs>
        <w:contextualSpacing w:val="0"/>
        <w:jc w:val="center"/>
        <w:rPr/>
      </w:pPr>
      <w:r w:rsidDel="00000000" w:rsidR="00000000" w:rsidRPr="00000000">
        <w:rPr>
          <w:rtl w:val="0"/>
        </w:rPr>
        <w:t xml:space="preserve">From the United Israel Bulletin</w:t>
      </w:r>
    </w:p>
    <w:p w:rsidR="00000000" w:rsidDel="00000000" w:rsidP="00000000" w:rsidRDefault="00000000" w:rsidRPr="00000000">
      <w:pPr>
        <w:pBdr/>
        <w:tabs>
          <w:tab w:val="left" w:pos="360"/>
        </w:tabs>
        <w:contextualSpacing w:val="0"/>
        <w:jc w:val="center"/>
        <w:rPr/>
      </w:pPr>
      <w:r w:rsidDel="00000000" w:rsidR="00000000" w:rsidRPr="00000000">
        <w:rPr>
          <w:rtl w:val="0"/>
        </w:rPr>
        <w:t xml:space="preserve">Vol. XXVIII;  July 1971</w:t>
      </w:r>
    </w:p>
    <w:p w:rsidR="00000000" w:rsidDel="00000000" w:rsidP="00000000" w:rsidRDefault="00000000" w:rsidRPr="00000000">
      <w:pPr>
        <w:pBdr/>
        <w:tabs>
          <w:tab w:val="left" w:pos="360"/>
        </w:tabs>
        <w:contextualSpacing w:val="0"/>
        <w:jc w:val="center"/>
        <w:rPr/>
      </w:pPr>
      <w:r w:rsidDel="00000000" w:rsidR="00000000" w:rsidRPr="00000000">
        <w:rPr>
          <w:rtl w:val="0"/>
        </w:rPr>
      </w:r>
    </w:p>
    <w:p w:rsidR="00000000" w:rsidDel="00000000" w:rsidP="00000000" w:rsidRDefault="00000000" w:rsidRPr="00000000">
      <w:pPr>
        <w:pBdr/>
        <w:contextualSpacing w:val="0"/>
        <w:jc w:val="center"/>
        <w:rPr>
          <w:b w:val="1"/>
        </w:rPr>
      </w:pPr>
      <w:r w:rsidDel="00000000" w:rsidR="00000000" w:rsidRPr="00000000">
        <w:rPr>
          <w:b w:val="1"/>
          <w:rtl w:val="0"/>
        </w:rPr>
        <w:t xml:space="preserve">Pastor Charles T. Russell Article Evokes National Interest; Noted Bible Scholars React Favorably;</w:t>
      </w:r>
    </w:p>
    <w:p w:rsidR="00000000" w:rsidDel="00000000" w:rsidP="00000000" w:rsidRDefault="00000000" w:rsidRPr="00000000">
      <w:pPr>
        <w:pBdr/>
        <w:contextualSpacing w:val="0"/>
        <w:jc w:val="center"/>
        <w:rPr/>
      </w:pPr>
      <w:bookmarkStart w:colFirst="0" w:colLast="0" w:name="_gjdgxs" w:id="0"/>
      <w:bookmarkEnd w:id="0"/>
      <w:r w:rsidDel="00000000" w:rsidR="00000000" w:rsidRPr="00000000">
        <w:rPr>
          <w:b w:val="1"/>
          <w:rtl w:val="0"/>
        </w:rPr>
        <w:t xml:space="preserve">Events Vindicate Founder</w:t>
      </w:r>
      <w:r w:rsidDel="00000000" w:rsidR="00000000" w:rsidRPr="00000000">
        <w:rPr>
          <w:rtl w:val="0"/>
        </w:rPr>
      </w:r>
    </w:p>
    <w:p w:rsidR="00000000" w:rsidDel="00000000" w:rsidP="00000000" w:rsidRDefault="00000000" w:rsidRPr="00000000">
      <w:pPr>
        <w:pBdr/>
        <w:tabs>
          <w:tab w:val="left" w:pos="360"/>
        </w:tabs>
        <w:contextualSpacing w:val="0"/>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The United Israel Bulletin article, “Founder of Anti-Zionist ‘J-Witnesses’ Hailed Zionism As Being Biblically Prophetic — Said Herzl Was Sent By God” (March, 1971), has created national interest and this to the extent that the issue was sold out within a short period.</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Scores of letters from outstanding Bible scholars from many sections of the country were received at the </w:t>
      </w:r>
      <w:r w:rsidDel="00000000" w:rsidR="00000000" w:rsidRPr="00000000">
        <w:rPr>
          <w:b w:val="1"/>
          <w:rtl w:val="0"/>
        </w:rPr>
        <w:t xml:space="preserve">Bulletin</w:t>
      </w:r>
      <w:r w:rsidDel="00000000" w:rsidR="00000000" w:rsidRPr="00000000">
        <w:rPr>
          <w:rtl w:val="0"/>
        </w:rPr>
        <w:t xml:space="preserve"> offices — and letters still flow in — all paying high tribute to this publication and the World Press for having brought into the focus of the world attention that outstanding beloved and righteous soul Charles Taze Russell and his prophecies respecting the people of Israel.</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Typical among these communications was one from David Steven Doran.  Writing on behalf of the New Albany Bible Students, Indiana, Mr. Doran declared that the “March issue of the </w:t>
      </w:r>
      <w:r w:rsidDel="00000000" w:rsidR="00000000" w:rsidRPr="00000000">
        <w:rPr>
          <w:b w:val="1"/>
          <w:rtl w:val="0"/>
        </w:rPr>
        <w:t xml:space="preserve">United Israel Bulletin</w:t>
      </w:r>
      <w:r w:rsidDel="00000000" w:rsidR="00000000" w:rsidRPr="00000000">
        <w:rPr>
          <w:rtl w:val="0"/>
        </w:rPr>
        <w:t xml:space="preserve"> was a special joy for us.  Our congregation follows closely the prophetic and doctrinal teachings of Scripture as taught by Pastor C. T. Russell.  </w:t>
      </w:r>
      <w:r w:rsidDel="00000000" w:rsidR="00000000" w:rsidRPr="00000000">
        <w:rPr>
          <w:b w:val="1"/>
          <w:rtl w:val="0"/>
        </w:rPr>
        <w:t xml:space="preserve">It was therefore, gratifying to see his stand for the re-establishment of Israel as restated so clearly in opposition to the teachings of some who claim to be his spiritual descendants, but whose doctrines negate this claim.</w:t>
      </w: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b w:val="1"/>
          <w:rtl w:val="0"/>
        </w:rPr>
        <w:tab/>
        <w:t xml:space="preserve">“Any religion, government, or organization,” Mr. Doran continued, “which has no place for the Jew thereby testifies to its own falsity.  Events themselves will prove this to be true.  (See Gen. 12:3).”</w:t>
      </w: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The noted Bible student declared further:  “We, and many other congregations of Bible Students worldwide, rejoice with you and all Israel as we see God’s Hand directing the affairs of the Jewish People preparatory to the establishment of God’s Kingdom on earth through a new world capital in Jerusalem…”</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Another vital communication came from Prof. Rod D. Hugelman of Fargo, North Dakota.  Following is the text of his letter:</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“I have been given the March 1971 issue of </w:t>
      </w:r>
      <w:r w:rsidDel="00000000" w:rsidR="00000000" w:rsidRPr="00000000">
        <w:rPr>
          <w:b w:val="1"/>
          <w:rtl w:val="0"/>
        </w:rPr>
        <w:t xml:space="preserve">United Israel Bulletin</w:t>
      </w:r>
      <w:r w:rsidDel="00000000" w:rsidR="00000000" w:rsidRPr="00000000">
        <w:rPr>
          <w:rtl w:val="0"/>
        </w:rPr>
        <w:t xml:space="preserve"> which indeed proved a blessing from God.  There are many of us who still rejoice in the truths put forth some 90 years ago by Pastor Charles T. Russell.  We still follow these precepts confidently because of their beautiful harmony with the Holy Scriptures.</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“Pastor Russell’s good name was widely known in his day and the Jehovah’s Witnesses have therefore claimed him as their founder — falsely.  As founder of the Watch Tower Bible and Tract Society (a publishing arm), his death in 1916 became Judge Rutherford’s opportunity and he quickly seized control of the society within a matter of weeks and used it to construct the sect known today as the Jehovah’s Witnesses.</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“The current views of the Jehovah’s Witnesses are, as you have so faithfully shown, far far different in both fact and spirit from their claimed ‘founder.’  The history of the Jehovah’s Witnesses as recorded by Timothy White, himself a Jehovah’s Witness, documents these matters thoroughly as the following excerpt reveals:</w:t>
      </w:r>
    </w:p>
    <w:p w:rsidR="00000000" w:rsidDel="00000000" w:rsidP="00000000" w:rsidRDefault="00000000" w:rsidRPr="00000000">
      <w:pPr>
        <w:pBdr/>
        <w:tabs>
          <w:tab w:val="left" w:pos="360"/>
        </w:tabs>
        <w:contextualSpacing w:val="0"/>
        <w:jc w:val="center"/>
        <w:rPr/>
      </w:pPr>
      <w:r w:rsidDel="00000000" w:rsidR="00000000" w:rsidRPr="00000000">
        <w:rPr>
          <w:rtl w:val="0"/>
        </w:rPr>
        <w:t xml:space="preserve">Chapter 19</w:t>
      </w:r>
    </w:p>
    <w:p w:rsidR="00000000" w:rsidDel="00000000" w:rsidP="00000000" w:rsidRDefault="00000000" w:rsidRPr="00000000">
      <w:pPr>
        <w:pBdr/>
        <w:tabs>
          <w:tab w:val="left" w:pos="360"/>
        </w:tabs>
        <w:contextualSpacing w:val="0"/>
        <w:jc w:val="center"/>
        <w:rPr/>
      </w:pPr>
      <w:r w:rsidDel="00000000" w:rsidR="00000000" w:rsidRPr="00000000">
        <w:rPr>
          <w:rtl w:val="0"/>
        </w:rPr>
        <w:t xml:space="preserve">THE END Of RUSSELL’S “DIVINE PLAN”</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“‘We have already seen several samples of Rutherford’s doctrinal changes of Russell’s teachings.  They follow a pattern:  First, Russell’s views on the text under consideration, with his reasons for them, are either ignored, hastily passed over or distorted, often in language calculated to turn the reader against him.  Then Rutherford’s substitutionary interpretation is presented with many statements that the Lord is guiding his faction, supplying ‘new light.’”</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“‘This pattern which we have established for the relatively minor teachings on the type of Elijah and Elisha, was also followed when Rutherford later dismissed teachings of Russell which were highly important in his general concept of the divine plan.</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“‘Although I have quoted only a few examples of Rutherford’s changes, they are typical.  In fact an examination of the Watch Tower through the 1920’s will convince any logical mind that in no case did Rutherford point out in honest manner faults in Russell’s teachings.  Usually he merely stated his changes without any acknowledgement that it contradicted a long-established, and often well-reasoned view.  Where he did mention a view he said was Russell’s it was either a thorough distortion or oversimplification of it, at times, a view Russell simply did not have and even expressly denied.  This is not to say that the Judge was always wrong, but where he was right it was simply by accident.</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“‘These changes had the effect of whittling away at all of Russell’s ideas, until nothing resembling the “Divine Plan” remained.  Whereas the Judge did not cease to teach the negative ones — that is, hell-fire, the trinity, the immortal soul, evolution, etc. were wrong — he altered every important positive doctrine of Russell’s beyond recognition.’”</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center"/>
        <w:rPr/>
      </w:pPr>
      <w:r w:rsidDel="00000000" w:rsidR="00000000" w:rsidRPr="00000000">
        <w:rPr>
          <w:b w:val="1"/>
          <w:rtl w:val="0"/>
        </w:rPr>
        <w:t xml:space="preserve">A PEOPLE FOR HIS NAME</w:t>
      </w:r>
      <w:r w:rsidDel="00000000" w:rsidR="00000000" w:rsidRPr="00000000">
        <w:rPr>
          <w:rtl w:val="0"/>
        </w:rPr>
      </w:r>
    </w:p>
    <w:p w:rsidR="00000000" w:rsidDel="00000000" w:rsidP="00000000" w:rsidRDefault="00000000" w:rsidRPr="00000000">
      <w:pPr>
        <w:pBdr/>
        <w:tabs>
          <w:tab w:val="left" w:pos="360"/>
        </w:tabs>
        <w:contextualSpacing w:val="0"/>
        <w:jc w:val="center"/>
        <w:rPr/>
      </w:pPr>
      <w:r w:rsidDel="00000000" w:rsidR="00000000" w:rsidRPr="00000000">
        <w:rPr>
          <w:b w:val="1"/>
          <w:rtl w:val="0"/>
        </w:rPr>
        <w:t xml:space="preserve">Vantage Press,  168  page 215,220.</w:t>
      </w:r>
      <w:r w:rsidDel="00000000" w:rsidR="00000000" w:rsidRPr="00000000">
        <w:rPr>
          <w:rtl w:val="0"/>
        </w:rPr>
      </w:r>
    </w:p>
    <w:p w:rsidR="00000000" w:rsidDel="00000000" w:rsidP="00000000" w:rsidRDefault="00000000" w:rsidRPr="00000000">
      <w:pPr>
        <w:pBdr/>
        <w:tabs>
          <w:tab w:val="left" w:pos="360"/>
        </w:tabs>
        <w:contextualSpacing w:val="0"/>
        <w:jc w:val="center"/>
        <w:rPr/>
      </w:pPr>
      <w:r w:rsidDel="00000000" w:rsidR="00000000" w:rsidRPr="00000000">
        <w:rPr>
          <w:b w:val="1"/>
          <w:rtl w:val="0"/>
        </w:rPr>
        <w:t xml:space="preserve">First two and last two paragraphs.</w:t>
      </w: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“It has been a painful experience for us over the years as we cried out these facts again and again as a voice in the wilderness — unheard, while those who maligned his name </w:t>
      </w:r>
      <w:r w:rsidDel="00000000" w:rsidR="00000000" w:rsidRPr="00000000">
        <w:rPr>
          <w:b w:val="1"/>
          <w:rtl w:val="0"/>
        </w:rPr>
        <w:t xml:space="preserve">were</w:t>
      </w:r>
      <w:r w:rsidDel="00000000" w:rsidR="00000000" w:rsidRPr="00000000">
        <w:rPr>
          <w:rtl w:val="0"/>
        </w:rPr>
        <w:t xml:space="preserve"> heard and received as his ‘followers.’  How fitting that the Jewish community which listened so intently to Pastor Russell in 1910 should be so helpful in clearing his name today.  In doing so you have also helped lift the stain of error from God’s good name whose character is revealed in His Divine Plan — for all mankind through His immutable promise to Abraham, Genesis 23:15-18.  It is man who has come to spell God’s justice, “just-us” — it must be corrected at every opportunity.</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“May God bless you and increase the Silvered sounds of truth.”</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Respectfully, </w:t>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Rodney D. Hugelman</w:t>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Fargo, North Dakota</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b w:val="1"/>
          <w:rtl w:val="0"/>
        </w:rPr>
        <w:t xml:space="preserve">Excerpts From Other Communications On Pastor Russell</w:t>
      </w:r>
      <w:r w:rsidDel="00000000" w:rsidR="00000000" w:rsidRPr="00000000">
        <w:rPr>
          <w:rtl w:val="0"/>
        </w:rPr>
      </w:r>
    </w:p>
    <w:p w:rsidR="00000000" w:rsidDel="00000000" w:rsidP="00000000" w:rsidRDefault="00000000" w:rsidRPr="00000000">
      <w:pPr>
        <w:pBdr/>
        <w:tabs>
          <w:tab w:val="left" w:pos="360"/>
        </w:tabs>
        <w:contextualSpacing w:val="0"/>
        <w:jc w:val="center"/>
        <w:rPr/>
      </w:pPr>
      <w:r w:rsidDel="00000000" w:rsidR="00000000" w:rsidRPr="00000000">
        <w:rPr>
          <w:b w:val="1"/>
          <w:rtl w:val="0"/>
        </w:rPr>
        <w:t xml:space="preserve">Says “J-Witnesses Departed From Russell teachings”</w:t>
      </w: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“It was with a great deal of pleasure that I read your article entitled, “WATCHTOWER FOUNDER HAILED ZIONISM, FOLLOWERS DO NOT.” Which as published in the B’nai B’rith Messenger of Los Angeles — a copy of which was sent to me.</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“In spite of the fact that the organization known as “Jehovah’s Witnesses” is “anti-Zionist” and many earnest Bible Students in this country who are holding to the Bible teachings of  the renowned Pastor Russell, and who are (and have been for more than fifty years!) rejoicing in the “prosperity of Zion,” the “restoration of Israel” — viewing their progress as a nation just as Pastor Russell did, viz.: as the fulfillment of the prophecies of the Old Testament.</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“These Bible Students have no connection with “Jehovah’s Witnesses,” as, since the death of Pastor Russell in 1916, that organization has departed almost completely from the writings and teachings of that Bible scholar.  The “Jehovah’s Witnesses” have no right to claim Pastor Russell as the “founder” of their organization.  The term “Jehovah’s Witnesses” was never used during the Pastor’s lifetime.  Their teachings are so far removed from his as to be hardly recognizable.</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“We are well informed about the remarkable mass meeting in the Hippodrome in 1910 and are delighted to know that you, and possibly many of your colleagues, recognize the Biblical truths as set forth by Pastor Russell, particularly in regard to Israel as a nation.</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“His predictions (though not </w:t>
      </w:r>
      <w:r w:rsidDel="00000000" w:rsidR="00000000" w:rsidRPr="00000000">
        <w:rPr>
          <w:b w:val="1"/>
          <w:rtl w:val="0"/>
        </w:rPr>
        <w:t xml:space="preserve">his</w:t>
      </w:r>
      <w:r w:rsidDel="00000000" w:rsidR="00000000" w:rsidRPr="00000000">
        <w:rPr>
          <w:rtl w:val="0"/>
        </w:rPr>
        <w:t xml:space="preserve">, but rather the predictions of your own prophets) have come true; Israel is now a nation; and although “Jacob’s trouble” is not yet over, yet God’s hand is over Israel, and will eventually “deliver them as He did in the days of old,” through the great Messiah!  Jeremiah 30:7; Ezekiel 39:25-29…”</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(Miss) Vera K. Leverett</w:t>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Landsowne, PA</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center"/>
        <w:rPr/>
      </w:pPr>
      <w:r w:rsidDel="00000000" w:rsidR="00000000" w:rsidRPr="00000000">
        <w:rPr>
          <w:b w:val="1"/>
          <w:rtl w:val="0"/>
        </w:rPr>
        <w:t xml:space="preserve">Events Have Reaffirmed Prophecies Respecting Israel</w:t>
      </w: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“Through your kindness and that of Minister T. A. Smith, Bellingham, Washington, we have received a copy of the </w:t>
      </w:r>
      <w:r w:rsidDel="00000000" w:rsidR="00000000" w:rsidRPr="00000000">
        <w:rPr>
          <w:b w:val="1"/>
          <w:rtl w:val="0"/>
        </w:rPr>
        <w:t xml:space="preserve">United Israel Bulletin</w:t>
      </w:r>
      <w:r w:rsidDel="00000000" w:rsidR="00000000" w:rsidRPr="00000000">
        <w:rPr>
          <w:rtl w:val="0"/>
        </w:rPr>
        <w:t xml:space="preserve"> of March, 1971.  Thank you very much.  We are delighted to read of the renewed interest in Pastor Russell’s understanding of the prophetic Scriptures dealing with Israel.  We rejoice with you in the encouragement of the Scriptures, as Pastor Russell saw them then.  And we thrill to each new evidence of God’s favor to His people Israel as they are demonstrated in the establishment and progress of the nation.  Truly, faith in the prospects for Israel as seen in 1911 has been reaffirmed by events in the last 60 years.  We thank God for the favor of this understanding and the blessings of this faith.</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Robert W. Alexander</w:t>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Los Gatos, California</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center"/>
        <w:rPr/>
      </w:pPr>
      <w:r w:rsidDel="00000000" w:rsidR="00000000" w:rsidRPr="00000000">
        <w:rPr>
          <w:b w:val="1"/>
          <w:rtl w:val="0"/>
        </w:rPr>
        <w:t xml:space="preserve">Events Vindicate Pastor Russell</w:t>
      </w: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“Recently, my wife and I came upon your article in the 15 January </w:t>
      </w:r>
      <w:r w:rsidDel="00000000" w:rsidR="00000000" w:rsidRPr="00000000">
        <w:rPr>
          <w:b w:val="1"/>
          <w:rtl w:val="0"/>
        </w:rPr>
        <w:t xml:space="preserve">B’nai B’rith Messenger</w:t>
      </w:r>
      <w:r w:rsidDel="00000000" w:rsidR="00000000" w:rsidRPr="00000000">
        <w:rPr>
          <w:rtl w:val="0"/>
        </w:rPr>
        <w:t xml:space="preserve"> titled “Watchtower Founder Hailed Zionism, Followers Do Not.”  We were surprised (pleasantly so!), perhaps because we assumed that only Bible students who still agree with Pastor Russell’s teachings concerning the Jew and prophecy would know about the Hippodrome meeting in 1910.  Your description bridged the years and made that event very real!</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“We are Bible students (and there are many of like belief, although somewhat scattered and small in number, by comparison with Jehovah’s Witnesses) who are fully persuaded from our study of the Scriptures that what we see taking place in Israel is a prelude to the fulfillment of God’s promise to Abraham — “By myself have I sworn, saith the Lord, … in thy seed shall all the nations of earth be blessed …” — Gen. 22:15-18.</w:t>
      </w:r>
    </w:p>
    <w:p w:rsidR="00000000" w:rsidDel="00000000" w:rsidP="00000000" w:rsidRDefault="00000000" w:rsidRPr="00000000">
      <w:pPr>
        <w:pBdr/>
        <w:tabs>
          <w:tab w:val="left" w:pos="360"/>
        </w:tabs>
        <w:contextualSpacing w:val="0"/>
        <w:jc w:val="both"/>
        <w:rPr/>
      </w:pPr>
      <w:r w:rsidDel="00000000" w:rsidR="00000000" w:rsidRPr="00000000">
        <w:rPr>
          <w:rtl w:val="0"/>
        </w:rPr>
        <w:tab/>
        <w:t xml:space="preserve">“Truly, the Jehovah’s Witnesses have lost sight of this Biblical truth so clearly presented by Pastor C. T. Russell.  Even though in the years since his death, the dramatic events that have encompassed the Jewish people surely vindicate his understanding of the Hebrew prophets — for God is regathering his people Israel into the land that was promised them.  “… and they shall no more be pulled up out of their land which I have given them, saith the Lord God.” — Amos 9:15, 16</w:t>
      </w:r>
    </w:p>
    <w:p w:rsidR="00000000" w:rsidDel="00000000" w:rsidP="00000000" w:rsidRDefault="00000000" w:rsidRPr="00000000">
      <w:pPr>
        <w:pBdr/>
        <w:tabs>
          <w:tab w:val="left" w:pos="360"/>
        </w:tabs>
        <w:contextualSpacing w:val="0"/>
        <w:jc w:val="both"/>
        <w:rPr/>
      </w:pPr>
      <w:r w:rsidDel="00000000" w:rsidR="00000000" w:rsidRPr="00000000">
        <w:rPr>
          <w:rtl w:val="0"/>
        </w:rPr>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Sincerely yours,</w:t>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Stu and Virginia Sowers</w:t>
      </w:r>
    </w:p>
    <w:p w:rsidR="00000000" w:rsidDel="00000000" w:rsidP="00000000" w:rsidRDefault="00000000" w:rsidRPr="00000000">
      <w:pPr>
        <w:pBdr/>
        <w:tabs>
          <w:tab w:val="left" w:pos="360"/>
        </w:tabs>
        <w:contextualSpacing w:val="0"/>
        <w:jc w:val="both"/>
        <w:rPr/>
      </w:pPr>
      <w:r w:rsidDel="00000000" w:rsidR="00000000" w:rsidRPr="00000000">
        <w:rPr>
          <w:rtl w:val="0"/>
        </w:rPr>
        <w:t xml:space="preserve">College Park, MD</w:t>
      </w:r>
    </w:p>
    <w:sectPr>
      <w:pgSz w:h="15840" w:w="12240"/>
      <w:pgMar w:bottom="720" w:top="720" w:left="2520" w:right="25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pBdr/>
      <w:spacing w:after="80" w:before="360" w:line="240" w:lineRule="auto"/>
    </w:pPr>
    <w:rPr>
      <w:rFonts w:ascii="Times New Roman" w:cs="Times New Roman" w:eastAsia="Times New Roman" w:hAnsi="Times New Roman"/>
      <w:b w:val="1"/>
      <w:color w:val="000000"/>
      <w:sz w:val="36"/>
      <w:szCs w:val="36"/>
    </w:rPr>
  </w:style>
  <w:style w:type="paragraph" w:styleId="Heading3">
    <w:name w:val="heading 3"/>
    <w:basedOn w:val="Normal"/>
    <w:next w:val="Normal"/>
    <w:pPr>
      <w:keepNext w:val="1"/>
      <w:keepLines w:val="1"/>
      <w:pBdr/>
      <w:spacing w:after="80" w:before="280" w:line="240" w:lineRule="auto"/>
    </w:pPr>
    <w:rPr>
      <w:rFonts w:ascii="Times New Roman" w:cs="Times New Roman" w:eastAsia="Times New Roman" w:hAnsi="Times New Roman"/>
      <w:b w:val="1"/>
      <w:color w:val="000000"/>
      <w:sz w:val="28"/>
      <w:szCs w:val="28"/>
    </w:rPr>
  </w:style>
  <w:style w:type="paragraph" w:styleId="Heading4">
    <w:name w:val="heading 4"/>
    <w:basedOn w:val="Normal"/>
    <w:next w:val="Normal"/>
    <w:pPr>
      <w:keepNext w:val="1"/>
      <w:keepLines w:val="1"/>
      <w:pBdr/>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Bdr/>
      <w:spacing w:after="40" w:before="220" w:line="240" w:lineRule="auto"/>
    </w:pPr>
    <w:rPr>
      <w:rFonts w:ascii="Times New Roman" w:cs="Times New Roman" w:eastAsia="Times New Roman" w:hAnsi="Times New Roman"/>
      <w:b w:val="1"/>
      <w:color w:val="000000"/>
      <w:sz w:val="22"/>
      <w:szCs w:val="22"/>
    </w:rPr>
  </w:style>
  <w:style w:type="paragraph" w:styleId="Heading6">
    <w:name w:val="heading 6"/>
    <w:basedOn w:val="Normal"/>
    <w:next w:val="Normal"/>
    <w:pPr>
      <w:keepNext w:val="1"/>
      <w:keepLines w:val="1"/>
      <w:pBdr/>
      <w:spacing w:after="40" w:before="200" w:line="240" w:lineRule="auto"/>
    </w:pPr>
    <w:rPr>
      <w:rFonts w:ascii="Times New Roman" w:cs="Times New Roman" w:eastAsia="Times New Roman" w:hAnsi="Times New Roman"/>
      <w:b w:val="1"/>
      <w:color w:val="000000"/>
      <w:sz w:val="20"/>
      <w:szCs w:val="20"/>
    </w:rPr>
  </w:style>
  <w:style w:type="paragraph" w:styleId="Title">
    <w:name w:val="Title"/>
    <w:basedOn w:val="Normal"/>
    <w:next w:val="Normal"/>
    <w:pPr>
      <w:keepNext w:val="1"/>
      <w:keepLines w:val="1"/>
      <w:pBdr/>
      <w:spacing w:after="120" w:before="480" w:line="240" w:lineRule="auto"/>
    </w:pPr>
    <w:rPr>
      <w:rFonts w:ascii="Times New Roman" w:cs="Times New Roman" w:eastAsia="Times New Roman" w:hAnsi="Times New Roman"/>
      <w:b w:val="1"/>
      <w:color w:val="000000"/>
      <w:sz w:val="72"/>
      <w:szCs w:val="72"/>
    </w:rPr>
  </w:style>
  <w:style w:type="paragraph" w:styleId="Subtitle">
    <w:name w:val="Subtitle"/>
    <w:basedOn w:val="Normal"/>
    <w:next w:val="Normal"/>
    <w:pPr>
      <w:keepNext w:val="1"/>
      <w:keepLines w:val="1"/>
      <w:pBdr/>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